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 характеристика</w:t>
      </w:r>
      <w:r>
        <w:rPr>
          <w:rFonts w:ascii="Times New Roman" w:hAnsi="Times New Roman"/>
          <w:b w:val="1"/>
          <w:sz w:val="28"/>
        </w:rPr>
        <w:t xml:space="preserve"> сферы реализации муниципальной программы</w:t>
      </w:r>
    </w:p>
    <w:p w14:paraId="07000000">
      <w:pPr>
        <w:widowControl w:val="1"/>
        <w:spacing w:after="0" w:line="240" w:lineRule="auto"/>
        <w:ind w:firstLine="660"/>
        <w:jc w:val="center"/>
        <w:rPr>
          <w:rFonts w:ascii="Times New Roman" w:hAnsi="Times New Roman"/>
          <w:b w:val="1"/>
          <w:sz w:val="28"/>
        </w:rPr>
      </w:pP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</w:t>
      </w:r>
      <w:r>
        <w:rPr>
          <w:rFonts w:ascii="Times New Roman" w:hAnsi="Times New Roman"/>
          <w:sz w:val="28"/>
        </w:rPr>
        <w:t>Общая  характеристика</w:t>
      </w:r>
      <w:r>
        <w:rPr>
          <w:rFonts w:ascii="Times New Roman" w:hAnsi="Times New Roman"/>
          <w:sz w:val="28"/>
        </w:rPr>
        <w:t xml:space="preserve"> сферы реализации муниципальной </w:t>
      </w: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программы и прогноз ее развития</w:t>
      </w:r>
    </w:p>
    <w:p w14:paraId="0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Муниципальная программа  Кашинского муниципального округа Тверской области  «Переселение граждан из аварийного жилищного фонда Кашинского муниципального  округа Тверской области на 2025-2030 годы» (далее – Программа) направлена на проведение мероприятий по переселению граждан из аварийного жилищного фонда, необходимых для создания безопасных и благоприятных условий проживания граждан на территории  Кашинского муниципального округа Тверской области. </w:t>
      </w:r>
    </w:p>
    <w:p w14:paraId="0C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Переселение граждан из аварийного жилищного фонда - важнейшая социальная проблема, которая влияет на прочие социальные процессы в обществе - демографию, здоровье нации, социальную адаптированность     отдельных групп населения, степень благоустройства жилых помещений. Кроме того, жилищный фонд, признанный непригодным для проживания или с высоким уровнем износа, ухудшает внешний облик населенных пунктов Кашинского муниципального округа Тверской области, инвестиционную привлекательность Кашинского муниципального округа Тверской области, создает потенциальную угрозу безопасности и комфортности проживания граждан, ухудшает качество предоставляемых коммунальных услуг.</w:t>
      </w:r>
    </w:p>
    <w:p w14:paraId="0D000000">
      <w:pPr>
        <w:widowControl w:val="1"/>
        <w:spacing w:after="0" w:line="240" w:lineRule="auto"/>
        <w:ind w:firstLine="660"/>
        <w:jc w:val="both"/>
        <w:rPr>
          <w:rFonts w:ascii="Times New Roman" w:hAnsi="Times New Roman"/>
          <w:sz w:val="28"/>
        </w:rPr>
      </w:pPr>
    </w:p>
    <w:p w14:paraId="0E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Перечень основных проблем в сфере </w:t>
      </w:r>
    </w:p>
    <w:p w14:paraId="0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реализации Программы</w:t>
      </w:r>
    </w:p>
    <w:p w14:paraId="10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1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Проблема улучшения жилищных условий граждан, проживающих в ветхом </w:t>
      </w:r>
      <w:r>
        <w:rPr>
          <w:rFonts w:ascii="Times New Roman" w:hAnsi="Times New Roman"/>
          <w:sz w:val="28"/>
        </w:rPr>
        <w:t>и  аварийном</w:t>
      </w:r>
      <w:r>
        <w:rPr>
          <w:rFonts w:ascii="Times New Roman" w:hAnsi="Times New Roman"/>
          <w:sz w:val="28"/>
        </w:rPr>
        <w:t>, а также признанном непригодным для проживания и не подлежащим ремонту и реконструкции жилищном фонде, продолжает оставаться в числе особо актуальных и первостепенных, так как значительная часть жилищного фонда не удовлетворяет потребностям населения.</w:t>
      </w:r>
    </w:p>
    <w:p w14:paraId="12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Проживая в ветхом и аварийном жилищном фонде, равно как и в жилых помещениях, признанных в установленном порядке непригодными для проживания и не подлежащими ремонту и реконструкции, граждане постоянно подвергаются опасности. Уровень благоустройства и санитарно-эпидемиологическое состояние жилых помещений и в целом жилых домов, не соответствуют современным требованиям, предъявляемым к качеству жилья. Условия проживания в аварийном жилищном фонде оказывают негативное влияние на здоровье граждан и на демографическую ситуацию, понижает социальный статус гражданина. Большинство граждан, проживающих в ветхих и аварийных домах, не в состоянии самостоятельно приобрести новые квартиры.</w:t>
      </w:r>
    </w:p>
    <w:p w14:paraId="13000000">
      <w:pPr>
        <w:pStyle w:val="Style_2"/>
        <w:widowControl w:val="1"/>
        <w:spacing w:after="0" w:before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настоящей Программы позволит обеспечить выполнение обязательств муниципального образования перед гражданами, проживающими в условиях, непригодных для постоянного проживания, снизить социальную напряженность и улучшить архитектурный облик населённых пунктов Кашинского муниципального округа Тверской области. Учитывая сложившуюся ситуацию в жилищной сфере и социальную напряженность среди жителей, проживающих в ветхих и аварийных домах Кашинского муниципального округа Тверской области, возникает необходимость решения этой проблемы жилищного фонда программными методами.</w:t>
      </w:r>
    </w:p>
    <w:p w14:paraId="14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жилым помещениям с неудовлетворительными условиями проживания можно отнести весь ветхий жилищный фонд до 1917 года. В соответствии с методическими указаниями по содержанию и ремонту жилищного фонда многоквартирных домов, утвержденными Росстроем 01.01.2004, к ветхому жилищному фонду относятся дома с износом конструкций свыше 70% для каменных и кирпичных зданий и свыше 65% для деревянных зданий и зданий из других местных материалов. В Кашинском муниципальном округе Тверской области на сегодняшний день имеется 3 многоквартирных дома общей площадью 797 </w:t>
      </w:r>
      <w:r>
        <w:rPr>
          <w:rFonts w:ascii="Times New Roman" w:hAnsi="Times New Roman"/>
          <w:sz w:val="28"/>
        </w:rPr>
        <w:t>кв.м</w:t>
      </w:r>
      <w:r>
        <w:rPr>
          <w:rFonts w:ascii="Times New Roman" w:hAnsi="Times New Roman"/>
          <w:sz w:val="28"/>
        </w:rPr>
        <w:t xml:space="preserve"> аварийного жилищного фонда, признанного таковым после 01.01.2024 и в котором проживает 34 человека. Перечень аварийного жилищного фонда представлен в приложении № 2 к настоящей Программе</w:t>
      </w:r>
      <w:r>
        <w:rPr>
          <w:rFonts w:ascii="Times New Roman" w:hAnsi="Times New Roman"/>
          <w:sz w:val="28"/>
        </w:rPr>
        <w:t>.</w:t>
      </w:r>
    </w:p>
    <w:p w14:paraId="15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предусматривает инвентаризацию такого фонда, постоянную актуализацию информации о нем, обобщение программных, внепрограммных механизмов и мероприятий по расселению граждан.     </w:t>
      </w:r>
    </w:p>
    <w:p w14:paraId="16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Ежегодный мониторинг показывает, что происходит существенный рост количества многоквартирных домов, рассматриваемых на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фонда, частных жилых помещений, расположенных на территории Кашинского муниципального округа Тверской области и признаваемых в установленном порядке аварийными и подлежащими сносу и   реконструкции, в итоге показатель количества граждан, проживающих в аварийном жилищном фонде, ежегодно увеличивается. </w:t>
      </w:r>
    </w:p>
    <w:p w14:paraId="17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Из-за большого объема непригодного для постоянного проживания жилищного фонда на территории Кашинского муниципального округа Тверской области, ограниченных возможностей местного бюджета и несовершенства законодательной базы, Кашинский муниципальный округ Тверской области самостоятельно не может в полном объеме осуществить реконструкцию, строительство и приобретение  жилья для переселения граждан, проживающих в жилых домах, не отвечающих установленным санитарным и техническим требованиям. Финансовые средства для решения проблем, связанных с переселением граждан из непригодного для проживания жилищного фонда Кашинского муниципального округа Тверской области, повышения инвестиционной привлекательности Кашинского муниципального округа Тверской области, необходимо формировать за счет средств областного бюджета и местного бюджета Кашинского муниципального округа Тверской области.</w:t>
      </w:r>
    </w:p>
    <w:p w14:paraId="18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одной из острейших проблем Кашинского муниципального округа Тверской области является то, что в течение длительного времени ремонт жилищного фонда проводился в недостаточных объемах, техническое состояние жилищного фонда неоднородно, часть его имеет физический износ свыше 60%, большая часть жилищного фонда требует проведения капитального ремонта. </w:t>
      </w:r>
    </w:p>
    <w:p w14:paraId="19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Причинами возникновения этих проблем являются:</w:t>
      </w:r>
    </w:p>
    <w:p w14:paraId="1A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естественное старение домов;</w:t>
      </w:r>
    </w:p>
    <w:p w14:paraId="1B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высокая затратность работ по капитальному ремонту;</w:t>
      </w:r>
    </w:p>
    <w:p w14:paraId="1C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недостаточность средств собственников на капитальный ремонт.</w:t>
      </w:r>
    </w:p>
    <w:p w14:paraId="1D000000">
      <w:pPr>
        <w:widowControl w:val="1"/>
        <w:spacing w:after="0" w:before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Часть муниципального жилищного фонда Кашинского муниципального округа Тверской области представлена домами, построенными до 1917 года, которые на сегодня в основном не соответствуют требованиям, предъявляемым к жилым помещениям, имеют общий физический износ свыше 60%. Ежегодно увеличивается доля деревянных домов, перешагнувших отметку в 65% физического износа, согласно правилам технической инвентаризации попадающих в категорию ветхих. В рамках реализации Программы расселению, сносу и реконструкции подлежат 3 аварийных дома общей площадью 487,0 </w:t>
      </w:r>
      <w:r>
        <w:rPr>
          <w:rFonts w:ascii="Times New Roman" w:hAnsi="Times New Roman"/>
          <w:sz w:val="28"/>
        </w:rPr>
        <w:t>кв.м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включ</w:t>
      </w:r>
      <w:r>
        <w:rPr>
          <w:rFonts w:ascii="Times New Roman" w:hAnsi="Times New Roman"/>
          <w:sz w:val="28"/>
        </w:rPr>
        <w:t xml:space="preserve">енные в реестр аварийных домов, признанных таковыми после 01.01.2024. </w:t>
      </w:r>
    </w:p>
    <w:p w14:paraId="1E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F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20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1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настоящей Программы является: создание безопасных и благоприятных условий для проживания граждан, ликвидация аварийного  жилья в жилищном фонде на территории Кашинского муниципального округа Тверской области, переселение граждан из аварийных  многоквартирных домов, создание предпосылок для развития жилищного строительства, оптимизация использования земельных участков,  расселение граждан в пригодные для проживания жилые помещения.</w:t>
      </w:r>
    </w:p>
    <w:p w14:paraId="22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Показатель цели Программы: освобождение земельных участков для создания условий развития территории Кашинского муниципального округа Тверской области, переселение граждан в благоустроенное жилье, освобождение жилых помещений в многоквартирных домах, признанных аварийными после 01.01.2024.</w:t>
      </w:r>
    </w:p>
    <w:p w14:paraId="23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результате реализации Программа обеспечит:</w:t>
      </w:r>
    </w:p>
    <w:p w14:paraId="24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выполнение обязательств государства перед гражданами, проживающими в непригодных для постоянного проживания условиях, переселение граждан в благоустроенное жилье;</w:t>
      </w:r>
    </w:p>
    <w:p w14:paraId="25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снижение социальной напряженности;</w:t>
      </w:r>
    </w:p>
    <w:p w14:paraId="26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улучшение демографической ситуации в муниципальном округе;</w:t>
      </w:r>
    </w:p>
    <w:p w14:paraId="27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улучшение состояния здоровья населения;</w:t>
      </w:r>
    </w:p>
    <w:p w14:paraId="28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освобождение земельных участков для создания условий развития территории Кашинскогомуниципального округа Тверской области;</w:t>
      </w:r>
    </w:p>
    <w:p w14:paraId="29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- освобождение жилых помещений в многоквартирных домах, признанных аварийными после 01.01.2024;</w:t>
      </w:r>
    </w:p>
    <w:p w14:paraId="2A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Финансовое обеспечение по переселению граждан из аварийного жилищного фонда осуществляется за счет средств областного бюджета Тверской области, средств местного бюджета Кашинского муниципального округа Тверской области в рамках региональной адресной Программы «</w:t>
      </w:r>
      <w:r>
        <w:rPr>
          <w:rFonts w:ascii="Times New Roman" w:hAnsi="Times New Roman"/>
          <w:spacing w:val="2"/>
          <w:sz w:val="28"/>
          <w:highlight w:val="white"/>
        </w:rPr>
        <w:t>Адресная программа Тверской области по переселению граждан из аварийного жилищного фонда на 2019-2025 годы», утвержденной постановлением Правительства Тверской области от 10.04.2019 № 108-пп</w:t>
      </w:r>
      <w:r>
        <w:rPr>
          <w:rFonts w:ascii="Times New Roman" w:hAnsi="Times New Roman"/>
          <w:sz w:val="28"/>
        </w:rPr>
        <w:t xml:space="preserve">. Объем средств на проведение мероприятий по переселению граждан из аварийных многоквартирных домов определен исходя из площади расселяемого жилого помещения, планируемой стоимости одного квадратного метра общей площади помещений в многоквартирном доме. </w:t>
      </w:r>
    </w:p>
    <w:p w14:paraId="2B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стоимости одного квадратного метра общей площади жилых помещений, предоставляемых гражданам в рамках реализации Программы, утверждается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и жилищно-коммунального хозяйства. В соответствии с постановлением Правительства Тверской области от 10.04.2019 № 108-пп «Об утверждении региональной адресной Программы «</w:t>
      </w:r>
      <w:r>
        <w:rPr>
          <w:rFonts w:ascii="Times New Roman" w:hAnsi="Times New Roman"/>
          <w:spacing w:val="2"/>
          <w:sz w:val="28"/>
          <w:highlight w:val="white"/>
        </w:rPr>
        <w:t>Адресная программа Тверской области по переселению граждан из аварийного жилищного фонда на 2019 - 2025 годы»,</w:t>
      </w:r>
      <w:r>
        <w:rPr>
          <w:rFonts w:ascii="Times New Roman" w:hAnsi="Times New Roman"/>
          <w:sz w:val="28"/>
        </w:rPr>
        <w:t xml:space="preserve"> стоимость переселения за один квадратный метр общей площади предоставляемого жилого помещения в рамках мероприятий по переселению граждан из аварийного жилищного фонда, реализуемых с привлечением средств Фонда, рассчитана исходя из стоимости квадратного метра, установленного для Тверской области Министерством строительства и жилищно-коммунального хозяйства Российской Федерации.</w:t>
      </w:r>
    </w:p>
    <w:p w14:paraId="2C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Переселение граждан из аварийного жилищного фонда осуществляется в соответствии с жилищным законодательством. Гражданам, переселяемым из </w:t>
      </w:r>
      <w:r>
        <w:rPr>
          <w:rFonts w:ascii="Times New Roman" w:hAnsi="Times New Roman"/>
          <w:sz w:val="28"/>
        </w:rPr>
        <w:t>аварийного жилищного фонда, предоставляется жилая площадь, размеры и качество которой определяются исходя из установленных законодательством гарантий государства перед указанными гражданами.</w:t>
      </w:r>
    </w:p>
    <w:p w14:paraId="2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решений и проведение мероприятий по переселению граждан из аварийного жилищного фонда осуществляются в соответствии со статьями 32 и 86 Жилищного кодекса Российской Федерации, а также жилищным законодательством. Жилое помещение, предоставляемое гражданам,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на территории Тверской области.</w:t>
      </w:r>
    </w:p>
    <w:p w14:paraId="2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цели по созданию безопасных и благоприятных условий для проживания граждан и ликвидации аварийного жилищного фонда в рамках реализации Программы предусматривается выполнение подпрограммы «Расселение аварийного жилищного фонда Кашинского муниципального округа Тверской области». Срок реализации Программы 2025-2030 годы.</w:t>
      </w:r>
    </w:p>
    <w:p w14:paraId="2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0000000">
      <w:pPr>
        <w:widowControl w:val="1"/>
        <w:tabs>
          <w:tab w:leader="none" w:pos="1097" w:val="left"/>
        </w:tabs>
        <w:spacing w:after="0" w:line="240" w:lineRule="auto"/>
        <w:ind w:firstLine="693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Подпрограмма «Расселение аварийного жилищного фонда Кашинского муниципального округа Тверской области»</w:t>
      </w:r>
    </w:p>
    <w:p w14:paraId="31000000">
      <w:pPr>
        <w:widowControl w:val="1"/>
        <w:tabs>
          <w:tab w:leader="none" w:pos="1097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32000000">
      <w:pPr>
        <w:widowControl w:val="1"/>
        <w:tabs>
          <w:tab w:leader="none" w:pos="0" w:val="left"/>
        </w:tabs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Задачи подпрограммы</w:t>
      </w:r>
    </w:p>
    <w:p w14:paraId="33000000">
      <w:pPr>
        <w:widowControl w:val="1"/>
        <w:tabs>
          <w:tab w:leader="none" w:pos="0" w:val="left"/>
        </w:tabs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14:paraId="34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поставленных задач направлена на снижение уровня общего износа муниципального жилищного фонда Кашинского муниципального округа Тверской области.</w:t>
      </w:r>
    </w:p>
    <w:p w14:paraId="35000000">
      <w:pPr>
        <w:pStyle w:val="Style_3"/>
        <w:widowControl w:val="1"/>
        <w:tabs>
          <w:tab w:leader="none" w:pos="0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связана с решением следующих задач:</w:t>
      </w:r>
    </w:p>
    <w:p w14:paraId="36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 1 Подпрограммы «Выявление аварийного жилищного фонда на территории Кашинского муниципального округа Тверской области»;</w:t>
      </w:r>
    </w:p>
    <w:p w14:paraId="37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задача 2 Подпрограммы «Переселение граждан из аварийного жилищного фонда Кашинского муниципального округа Тверской области»;</w:t>
      </w:r>
    </w:p>
    <w:p w14:paraId="38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задача 3 Подпрограммы «Ликвидация аварийного жилищного фонда Кашинского муниципального округа Тверской области, в рамках реализации мероприятий регионального проекта «Обеспечение устойчивого сокращения непригодного для проживания жилищного фонда» национального проекта «Жилье и городская среда».</w:t>
      </w:r>
    </w:p>
    <w:p w14:paraId="39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решение задачи 1 Подпрограммы, являются:</w:t>
      </w:r>
    </w:p>
    <w:p w14:paraId="3A000000">
      <w:pPr>
        <w:pStyle w:val="Style_4"/>
        <w:widowControl w:val="1"/>
        <w:ind w:left="709"/>
        <w:jc w:val="both"/>
        <w:rPr>
          <w:sz w:val="28"/>
        </w:rPr>
      </w:pPr>
      <w:r>
        <w:rPr>
          <w:sz w:val="28"/>
        </w:rPr>
        <w:t>1) количество домов, в которых проведено техническое обследование несущих конструкций и конструктивных элементов домов;</w:t>
      </w:r>
    </w:p>
    <w:p w14:paraId="3B000000">
      <w:pPr>
        <w:widowControl w:val="1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решение задачи 2 Подпрограммы, являются:</w:t>
      </w:r>
    </w:p>
    <w:p w14:paraId="3C000000">
      <w:pPr>
        <w:pStyle w:val="Style_4"/>
        <w:widowControl w:val="1"/>
        <w:numPr>
          <w:ilvl w:val="0"/>
          <w:numId w:val="1"/>
        </w:numPr>
        <w:ind/>
        <w:jc w:val="both"/>
        <w:rPr>
          <w:sz w:val="28"/>
        </w:rPr>
      </w:pPr>
      <w:r>
        <w:rPr>
          <w:sz w:val="28"/>
        </w:rPr>
        <w:t>количество граждан, улучшивших жилищные условия.</w:t>
      </w:r>
    </w:p>
    <w:p w14:paraId="3D000000">
      <w:pPr>
        <w:pStyle w:val="Style_4"/>
        <w:widowControl w:val="1"/>
        <w:ind w:firstLine="709"/>
        <w:jc w:val="both"/>
        <w:rPr>
          <w:sz w:val="28"/>
        </w:rPr>
      </w:pPr>
      <w:r>
        <w:rPr>
          <w:sz w:val="28"/>
        </w:rPr>
        <w:t>Показателями, характеризующими решение задачи 3 Подпрограммы, являются:</w:t>
      </w:r>
    </w:p>
    <w:p w14:paraId="3E000000">
      <w:pPr>
        <w:widowControl w:val="1"/>
        <w:numPr>
          <w:ilvl w:val="0"/>
          <w:numId w:val="2"/>
        </w:num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расселенных аварийных домов;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         2) площадь расселенного аварийного жилищного фонда.</w:t>
      </w:r>
    </w:p>
    <w:p w14:paraId="3F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показателей задач Подпрограммы по годам реализации муниципальной программы приведены в приложении № 1 к настоящей Программе.</w:t>
      </w:r>
    </w:p>
    <w:p w14:paraId="40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4"/>
          <w:highlight w:val="yellow"/>
        </w:rPr>
      </w:pPr>
    </w:p>
    <w:p w14:paraId="41000000">
      <w:pPr>
        <w:widowControl w:val="1"/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 Мероприятия Подпрограммы</w:t>
      </w:r>
    </w:p>
    <w:p w14:paraId="42000000">
      <w:pPr>
        <w:widowControl w:val="1"/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14:paraId="43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 1 Подпрограммы осуществляется посредством выполнения следующих мероприятий:</w:t>
      </w:r>
    </w:p>
    <w:p w14:paraId="44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1) административное мероприятие «Выявление аварийных домов на территории Кашинского муниципального округа Тверской области»;</w:t>
      </w:r>
    </w:p>
    <w:p w14:paraId="45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2) административное мероприятие «Обследование многоквартирных домов, в которых находится муниципальная собственность Кашинского муниципального округа Тверской области, для признания таких домов аварийными, подлежащими сносу или реконструкции, а также муниципальных жилых помещений для признания пригодными (непригодными) для проживания граждан»;</w:t>
      </w:r>
    </w:p>
    <w:p w14:paraId="46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3) административное мероприятие «Определение стоимости возмещения за жилое помещение в аварийном жилищном фонде Кашинского муниципального округа Тверской области»;</w:t>
      </w:r>
    </w:p>
    <w:p w14:paraId="47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мероприятие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«Подготовка технического заключения по результатам обследования многоквартирного дома либо по результатам обследования элементов ограждающих и несущих конструкций жилого помещения». </w:t>
      </w:r>
    </w:p>
    <w:p w14:paraId="48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 xml:space="preserve"> Решение задачи 2 Подпрограммы осуществляется посредством выполнения следующих мероприятий: </w:t>
      </w:r>
    </w:p>
    <w:p w14:paraId="49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1) административное мероприятие «Ведение реестра аварийного жилищного фонда Кашинского муниципального округа Тверской области».</w:t>
      </w:r>
    </w:p>
    <w:p w14:paraId="4A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2)  мероприятие «Предоставление собственникам жилых помещений в аварийном жилищном фонде Кашинского муниципального округа Тверской области возмещение за жилое помещение»;</w:t>
      </w:r>
    </w:p>
    <w:p w14:paraId="4B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3) административное мероприятие «Приобретение жилых помещений для предоставления гражданам по договорам социального найма, проживающим в аварийном жилищном фонде Кашинского муниципального округа Тверской области»;</w:t>
      </w:r>
    </w:p>
    <w:p w14:paraId="4C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4) мероприятие «Снос аварийных многоквартирных домов»;</w:t>
      </w:r>
    </w:p>
    <w:p w14:paraId="4D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5) мероприятие «Оценка стоимости жилого помещения в аварийном жилищном фонде Кашинского муниципального округа Тверской области».</w:t>
      </w:r>
    </w:p>
    <w:p w14:paraId="4E000000">
      <w:pPr>
        <w:widowControl w:val="1"/>
        <w:spacing w:after="0" w:line="240" w:lineRule="auto"/>
        <w:ind w:firstLine="480"/>
        <w:jc w:val="both"/>
        <w:rPr>
          <w:rFonts w:ascii="Times New Roman" w:hAnsi="Times New Roman"/>
          <w:color w:val="444444"/>
          <w:sz w:val="24"/>
        </w:rPr>
      </w:pPr>
      <w:r>
        <w:rPr>
          <w:rFonts w:ascii="Times New Roman" w:hAnsi="Times New Roman"/>
          <w:sz w:val="28"/>
        </w:rPr>
        <w:t>Выполнение каждого мероприятия и административного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  <w:r>
        <w:rPr>
          <w:rFonts w:ascii="Times New Roman" w:hAnsi="Times New Roman"/>
          <w:color w:val="444444"/>
          <w:sz w:val="24"/>
        </w:rPr>
        <w:t xml:space="preserve"> </w:t>
      </w:r>
    </w:p>
    <w:p w14:paraId="4F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Решение задачи 3 Подпрограммы «Ликвидация аварийного жилищного фонда Кашинского муниципального округа Тверской области, в рамках реализации мероприятий регионального проекта «Обеспечение устойчивого сокращения непригодного для проживания жилищного фонда» национального проекта «Жилье и городская среда» осуществляется посредством выполнения следующих мероприятий:</w:t>
      </w:r>
    </w:p>
    <w:p w14:paraId="50000000">
      <w:pPr>
        <w:widowControl w:val="1"/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 «Мероприятия по расселению аварийных многоквартирных (жилых) домов в рамках реализации региональной программы «Адресная программа Тверской области по переселению граждан из аварийного жилищного фонда на 2019 - 2025 годы», утвержденной 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"https://docs.cntd.ru/document/553262619"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 Правительства Тверской области от 10.04.2019 №108-пп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51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1" w:name="_Hlk140911784"/>
      <w:r>
        <w:rPr>
          <w:rFonts w:ascii="Times New Roman" w:hAnsi="Times New Roman"/>
          <w:sz w:val="28"/>
        </w:rPr>
        <w:t>2) мероприятие «Обеспечение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территорий».</w:t>
      </w:r>
      <w:bookmarkEnd w:id="1"/>
    </w:p>
    <w:p w14:paraId="5200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мероприятие «Обеспечение мероприятий по переселению граждан из аварийного жилищного фонда за счет средств областного бюджета с привлечением средств публично-правовой компании «Фонд развития территорий»</w:t>
      </w:r>
    </w:p>
    <w:p w14:paraId="53000000">
      <w:pPr>
        <w:pStyle w:val="Style_4"/>
        <w:widowControl w:val="1"/>
        <w:ind w:firstLine="720"/>
        <w:rPr>
          <w:sz w:val="24"/>
          <w:highlight w:val="yellow"/>
        </w:rPr>
      </w:pPr>
    </w:p>
    <w:p w14:paraId="54000000">
      <w:pPr>
        <w:widowControl w:val="1"/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Объем финансовых ресурсов, необходимый для реализации подпрограммы </w:t>
      </w:r>
    </w:p>
    <w:p w14:paraId="55000000">
      <w:pPr>
        <w:widowControl w:val="1"/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14:paraId="56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Общий объем бюджетных ассигнований, выделенный на реализацию Подпрограммы «Расселение аварийного жилищного фонда Кашинского муниципального округа Тверской области» составляет 1850,0 тыс. руб.</w:t>
      </w:r>
    </w:p>
    <w:p w14:paraId="57000000">
      <w:pPr>
        <w:pStyle w:val="Style_4"/>
        <w:widowControl w:val="1"/>
        <w:ind w:firstLine="720"/>
        <w:jc w:val="both"/>
        <w:rPr>
          <w:sz w:val="28"/>
        </w:rPr>
      </w:pPr>
      <w:r>
        <w:rPr>
          <w:sz w:val="28"/>
        </w:rPr>
        <w:t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</w:t>
      </w:r>
    </w:p>
    <w:p w14:paraId="58000000">
      <w:pPr>
        <w:pStyle w:val="Style_4"/>
        <w:widowControl w:val="1"/>
        <w:ind w:firstLine="720"/>
        <w:rPr>
          <w:sz w:val="24"/>
        </w:rPr>
      </w:pPr>
    </w:p>
    <w:p w14:paraId="59000000">
      <w:pPr>
        <w:widowControl w:val="1"/>
        <w:spacing w:after="0" w:line="240" w:lineRule="auto"/>
        <w:ind w:firstLine="7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14:paraId="5A000000">
      <w:pPr>
        <w:widowControl w:val="1"/>
        <w:spacing w:after="0" w:line="240" w:lineRule="auto"/>
        <w:ind w:firstLine="720"/>
        <w:jc w:val="right"/>
        <w:rPr>
          <w:rFonts w:ascii="Times New Roman" w:hAnsi="Times New Roman"/>
          <w:sz w:val="24"/>
        </w:rPr>
      </w:pP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99"/>
        <w:gridCol w:w="1069"/>
        <w:gridCol w:w="1046"/>
        <w:gridCol w:w="985"/>
        <w:gridCol w:w="873"/>
        <w:gridCol w:w="873"/>
        <w:gridCol w:w="873"/>
        <w:gridCol w:w="1134"/>
      </w:tblGrid>
      <w:tr>
        <w:trPr>
          <w:trHeight w:hRule="atLeast" w:val="255"/>
        </w:trPr>
        <w:tc>
          <w:tcPr>
            <w:tcW w:type="dxa" w:w="32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pStyle w:val="Style_4"/>
              <w:widowControl w:val="1"/>
              <w:ind w:firstLine="720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</w:p>
          <w:p w14:paraId="5C000000">
            <w:pPr>
              <w:pStyle w:val="Style_4"/>
              <w:widowControl w:val="1"/>
              <w:ind w:firstLine="720"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подпрограммы</w:t>
            </w:r>
          </w:p>
        </w:tc>
        <w:tc>
          <w:tcPr>
            <w:tcW w:type="dxa" w:w="571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Объем бюджетных ассигнований, выделенный на реализацию подпрограммы по годам реализации, тыс. рублей.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Всего, тыс. руб.</w:t>
            </w:r>
          </w:p>
        </w:tc>
      </w:tr>
      <w:tr>
        <w:trPr>
          <w:trHeight w:hRule="atLeast" w:val="255"/>
        </w:trPr>
        <w:tc>
          <w:tcPr>
            <w:tcW w:type="dxa" w:w="32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  <w:p w14:paraId="60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год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  <w:p w14:paraId="62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2027 год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2028</w:t>
            </w:r>
          </w:p>
          <w:p w14:paraId="65000000">
            <w:pPr>
              <w:pStyle w:val="Style_4"/>
              <w:widowControl w:val="1"/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2029</w:t>
            </w:r>
          </w:p>
          <w:p w14:paraId="67000000">
            <w:pPr>
              <w:pStyle w:val="Style_4"/>
              <w:widowControl w:val="1"/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  <w:p w14:paraId="69000000">
            <w:pPr>
              <w:pStyle w:val="Style_4"/>
              <w:widowControl w:val="1"/>
              <w:ind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584"/>
        </w:trPr>
        <w:tc>
          <w:tcPr>
            <w:tcW w:type="dxa" w:w="3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6A000000">
            <w:pPr>
              <w:pStyle w:val="Style_4"/>
              <w:widowControl w:val="1"/>
              <w:ind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Подпрограмма  «</w:t>
            </w:r>
            <w:r>
              <w:rPr>
                <w:sz w:val="24"/>
              </w:rPr>
              <w:t>Расселение аварийного жилищного фонда Кашинского муниципального округа Тверской области»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1200,0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650,0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6F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70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72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73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75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</w:p>
          <w:p w14:paraId="76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pStyle w:val="Style_4"/>
              <w:rPr>
                <w:sz w:val="24"/>
              </w:rPr>
            </w:pPr>
            <w:r>
              <w:rPr>
                <w:sz w:val="24"/>
              </w:rPr>
              <w:t>1850,0</w:t>
            </w:r>
          </w:p>
        </w:tc>
      </w:tr>
      <w:tr>
        <w:trPr>
          <w:trHeight w:hRule="atLeast" w:val="563"/>
        </w:trPr>
        <w:tc>
          <w:tcPr>
            <w:tcW w:type="dxa" w:w="3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00000">
            <w:pPr>
              <w:pStyle w:val="Style_4"/>
              <w:widowControl w:val="1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Задача 1</w:t>
            </w:r>
          </w:p>
          <w:p w14:paraId="79000000">
            <w:pPr>
              <w:pStyle w:val="Style_4"/>
              <w:widowControl w:val="1"/>
              <w:ind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«Выявление аварийного жилищного фонда на территории Кашинского муниципального округа тверской области»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250,0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350,0</w:t>
            </w:r>
          </w:p>
        </w:tc>
      </w:tr>
      <w:tr>
        <w:trPr>
          <w:trHeight w:hRule="atLeast" w:val="840"/>
        </w:trPr>
        <w:tc>
          <w:tcPr>
            <w:tcW w:type="dxa" w:w="3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00000">
            <w:pPr>
              <w:pStyle w:val="Style_4"/>
              <w:widowControl w:val="1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Задача 2</w:t>
            </w:r>
          </w:p>
          <w:p w14:paraId="82000000">
            <w:pPr>
              <w:pStyle w:val="Style_4"/>
              <w:widowControl w:val="1"/>
              <w:ind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«Переселение граждан из аварийного жилищного фонда Кашинского муниципального округа Тверской области»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950,0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550,0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1500,0</w:t>
            </w:r>
          </w:p>
        </w:tc>
      </w:tr>
      <w:tr>
        <w:trPr>
          <w:trHeight w:hRule="atLeast" w:val="840"/>
        </w:trPr>
        <w:tc>
          <w:tcPr>
            <w:tcW w:type="dxa" w:w="32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00000">
            <w:pPr>
              <w:pStyle w:val="Style_4"/>
              <w:widowControl w:val="1"/>
              <w:ind w:firstLine="8"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 xml:space="preserve">Задача 3 </w:t>
            </w:r>
            <w:r>
              <w:rPr>
                <w:sz w:val="24"/>
              </w:rPr>
              <w:t>«Ликвидация аварийного жилищного фонда Кашинского муниципального округа Тверской области, в рамках реализации мероприятий регионального проекта «Обеспечение устойчивого сокращения непригодного для</w:t>
            </w:r>
          </w:p>
          <w:p w14:paraId="8B000000">
            <w:pPr>
              <w:pStyle w:val="Style_4"/>
              <w:widowControl w:val="1"/>
              <w:ind w:firstLine="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проживания жилищного фонда» национального проекта «Жилье и городская среда».</w:t>
            </w:r>
          </w:p>
          <w:p w14:paraId="8C000000">
            <w:pPr>
              <w:pStyle w:val="Style_4"/>
              <w:widowControl w:val="1"/>
              <w:ind/>
              <w:jc w:val="both"/>
              <w:rPr>
                <w:b w:val="1"/>
                <w:sz w:val="24"/>
              </w:rPr>
            </w:pP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0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8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pStyle w:val="Style_4"/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14:paraId="94000000">
      <w:pPr>
        <w:widowControl w:val="1"/>
        <w:spacing w:after="0" w:line="240" w:lineRule="auto"/>
        <w:ind w:firstLine="720"/>
        <w:jc w:val="both"/>
        <w:rPr>
          <w:rFonts w:ascii="Times New Roman" w:hAnsi="Times New Roman"/>
          <w:sz w:val="24"/>
          <w:highlight w:val="yellow"/>
        </w:rPr>
      </w:pPr>
    </w:p>
    <w:p w14:paraId="95000000">
      <w:pPr>
        <w:widowControl w:val="1"/>
        <w:spacing w:after="0" w:line="240" w:lineRule="auto"/>
        <w:ind w:firstLine="724" w:left="0"/>
        <w:jc w:val="both"/>
        <w:rPr>
          <w:rFonts w:ascii="Times New Roman" w:hAnsi="Times New Roman"/>
          <w:sz w:val="28"/>
        </w:rPr>
      </w:pPr>
    </w:p>
    <w:p w14:paraId="96000000">
      <w:pPr>
        <w:widowControl w:val="1"/>
        <w:tabs>
          <w:tab w:leader="none" w:pos="109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3.4. Механизм предоставления бюджетных ассигнований для выполнения мероприятий Подпрограммы</w:t>
      </w:r>
    </w:p>
    <w:p w14:paraId="97000000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</w:rPr>
      </w:pPr>
    </w:p>
    <w:p w14:paraId="98000000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Бюджетные ассигнования для выполнения мероприятий, указанных в п.3.2 настоящей Программы, представляются в соответствии 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бюджетом Кашинского муниципального округа Тверской </w:t>
      </w:r>
      <w:bookmarkStart w:id="2" w:name="_GoBack"/>
      <w:bookmarkEnd w:id="2"/>
      <w:r>
        <w:rPr>
          <w:rFonts w:ascii="Times New Roman" w:hAnsi="Times New Roman"/>
          <w:sz w:val="28"/>
        </w:rPr>
        <w:t>области  на текущий финансовый год и плановый период.</w:t>
      </w:r>
    </w:p>
    <w:p w14:paraId="99000000">
      <w:pPr>
        <w:widowControl w:val="1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Программные мероприятия предусматривают перечисление денежных средств на основании финансовых документов по назначению.</w:t>
      </w:r>
    </w:p>
    <w:p w14:paraId="9A000000">
      <w:pPr>
        <w:widowControl w:val="1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14:paraId="9B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</w:t>
      </w:r>
      <w:r>
        <w:rPr>
          <w:rFonts w:ascii="Times New Roman" w:hAnsi="Times New Roman"/>
          <w:sz w:val="28"/>
        </w:rPr>
        <w:t>отдел  по</w:t>
      </w:r>
      <w:r>
        <w:rPr>
          <w:rFonts w:ascii="Times New Roman" w:hAnsi="Times New Roman"/>
          <w:sz w:val="28"/>
        </w:rPr>
        <w:t xml:space="preserve"> строительству, транспорту, связи и ЖКХ Администрации Кашинского муниципального округа Тверской области. </w:t>
      </w:r>
    </w:p>
    <w:p w14:paraId="9C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9D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9E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9F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0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1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2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</w:t>
      </w:r>
    </w:p>
    <w:p w14:paraId="A3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4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5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6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7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8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9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A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B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C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D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E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AF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0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1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2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3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4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5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6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7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8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9000000">
      <w:pPr>
        <w:pStyle w:val="Style_6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</w:p>
    <w:p w14:paraId="BA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BB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BC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BD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BE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BF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0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1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2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3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4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5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6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bookmarkStart w:id="3" w:name="_Hlk145599514"/>
    </w:p>
    <w:p w14:paraId="C7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8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9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A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B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C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D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E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CF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0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1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2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3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4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5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</w:p>
    <w:p w14:paraId="D6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заведующего отделом архитектуры и градостроительства</w:t>
      </w:r>
    </w:p>
    <w:p w14:paraId="D7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Кашинского муниципального округа Тверской области</w:t>
      </w:r>
      <w:bookmarkEnd w:id="3"/>
    </w:p>
    <w:p w14:paraId="D8000000">
      <w:pPr>
        <w:widowControl w:val="1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В.В. </w:t>
      </w:r>
      <w:r>
        <w:rPr>
          <w:rFonts w:ascii="Times New Roman" w:hAnsi="Times New Roman"/>
          <w:sz w:val="28"/>
        </w:rPr>
        <w:t>Хандрилова</w:t>
      </w:r>
    </w:p>
    <w:sectPr>
      <w:headerReference r:id="rId2" w:type="default"/>
      <w:headerReference r:id="rId1" w:type="first"/>
      <w:pgSz w:h="16838" w:orient="portrait" w:w="11906"/>
      <w:pgMar w:bottom="1134" w:footer="709" w:gutter="0" w:header="709" w:left="1701" w:right="567" w:top="1134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  <w:rPr>
        <w:rFonts w:ascii="Times New Roman" w:hAnsi="Times New Roman"/>
        <w:sz w:val="24"/>
      </w:rPr>
    </w:pPr>
  </w:p>
  <w:p w14:paraId="04000000">
    <w:pPr>
      <w:pStyle w:val="Style_1"/>
      <w:widowControl w:val="1"/>
      <w:ind/>
      <w:jc w:val="center"/>
    </w:pPr>
  </w:p>
  <w:p w14:paraId="05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widowControl w:val="1"/>
        <w:ind w:hanging="360" w:left="1080"/>
      </w:pPr>
    </w:lvl>
    <w:lvl w:ilvl="1">
      <w:start w:val="1"/>
      <w:numFmt w:val="lowerLetter"/>
      <w:lvlText w:val="%2."/>
      <w:lvlJc w:val="left"/>
      <w:pPr>
        <w:widowControl w:val="1"/>
        <w:ind w:hanging="360" w:left="1800"/>
      </w:pPr>
    </w:lvl>
    <w:lvl w:ilvl="2">
      <w:start w:val="1"/>
      <w:numFmt w:val="lowerRoman"/>
      <w:lvlText w:val="%3."/>
      <w:lvlJc w:val="right"/>
      <w:pPr>
        <w:widowControl w:val="1"/>
        <w:ind w:hanging="180" w:left="2520"/>
      </w:pPr>
    </w:lvl>
    <w:lvl w:ilvl="3">
      <w:start w:val="1"/>
      <w:numFmt w:val="decimal"/>
      <w:lvlText w:val="%4."/>
      <w:lvlJc w:val="left"/>
      <w:pPr>
        <w:widowControl w:val="1"/>
        <w:ind w:hanging="360" w:left="3240"/>
      </w:pPr>
    </w:lvl>
    <w:lvl w:ilvl="4">
      <w:start w:val="1"/>
      <w:numFmt w:val="lowerLetter"/>
      <w:lvlText w:val="%5."/>
      <w:lvlJc w:val="left"/>
      <w:pPr>
        <w:widowControl w:val="1"/>
        <w:ind w:hanging="360" w:left="3960"/>
      </w:pPr>
    </w:lvl>
    <w:lvl w:ilvl="5">
      <w:start w:val="1"/>
      <w:numFmt w:val="lowerRoman"/>
      <w:lvlText w:val="%6."/>
      <w:lvlJc w:val="right"/>
      <w:pPr>
        <w:widowControl w:val="1"/>
        <w:ind w:hanging="180" w:left="4680"/>
      </w:pPr>
    </w:lvl>
    <w:lvl w:ilvl="6">
      <w:start w:val="1"/>
      <w:numFmt w:val="decimal"/>
      <w:lvlText w:val="%7."/>
      <w:lvlJc w:val="left"/>
      <w:pPr>
        <w:widowControl w:val="1"/>
        <w:ind w:hanging="360" w:left="5400"/>
      </w:pPr>
    </w:lvl>
    <w:lvl w:ilvl="7">
      <w:start w:val="1"/>
      <w:numFmt w:val="lowerLetter"/>
      <w:lvlText w:val="%8."/>
      <w:lvlJc w:val="left"/>
      <w:pPr>
        <w:widowControl w:val="1"/>
        <w:ind w:hanging="360" w:left="6120"/>
      </w:pPr>
    </w:lvl>
    <w:lvl w:ilvl="8">
      <w:start w:val="1"/>
      <w:numFmt w:val="lowerRoman"/>
      <w:lvlText w:val="%9."/>
      <w:lvlJc w:val="right"/>
      <w:pPr>
        <w:widowControl w:val="1"/>
        <w:ind w:hanging="180" w:left="6840"/>
      </w:pPr>
    </w:lvl>
  </w:abstractNum>
  <w:abstractNum w:abstractNumId="1">
    <w:lvl w:ilvl="0">
      <w:start w:val="1"/>
      <w:numFmt w:val="decimal"/>
      <w:lvlText w:val="%1)"/>
      <w:lvlJc w:val="left"/>
      <w:pPr>
        <w:widowControl w:val="1"/>
        <w:ind w:hanging="360" w:left="928"/>
      </w:pPr>
    </w:lvl>
    <w:lvl w:ilvl="1">
      <w:start w:val="1"/>
      <w:numFmt w:val="lowerLetter"/>
      <w:lvlText w:val="%2."/>
      <w:lvlJc w:val="left"/>
      <w:pPr>
        <w:widowControl w:val="1"/>
        <w:ind w:hanging="360" w:left="1789"/>
      </w:pPr>
    </w:lvl>
    <w:lvl w:ilvl="2">
      <w:start w:val="1"/>
      <w:numFmt w:val="lowerRoman"/>
      <w:lvlText w:val="%3."/>
      <w:lvlJc w:val="right"/>
      <w:pPr>
        <w:widowControl w:val="1"/>
        <w:ind w:hanging="180" w:left="2509"/>
      </w:pPr>
    </w:lvl>
    <w:lvl w:ilvl="3">
      <w:start w:val="1"/>
      <w:numFmt w:val="decimal"/>
      <w:lvlText w:val="%4."/>
      <w:lvlJc w:val="left"/>
      <w:pPr>
        <w:widowControl w:val="1"/>
        <w:ind w:hanging="360" w:left="3229"/>
      </w:pPr>
    </w:lvl>
    <w:lvl w:ilvl="4">
      <w:start w:val="1"/>
      <w:numFmt w:val="lowerLetter"/>
      <w:lvlText w:val="%5."/>
      <w:lvlJc w:val="left"/>
      <w:pPr>
        <w:widowControl w:val="1"/>
        <w:ind w:hanging="360" w:left="3949"/>
      </w:pPr>
    </w:lvl>
    <w:lvl w:ilvl="5">
      <w:start w:val="1"/>
      <w:numFmt w:val="lowerRoman"/>
      <w:lvlText w:val="%6."/>
      <w:lvlJc w:val="right"/>
      <w:pPr>
        <w:widowControl w:val="1"/>
        <w:ind w:hanging="180" w:left="4669"/>
      </w:pPr>
    </w:lvl>
    <w:lvl w:ilvl="6">
      <w:start w:val="1"/>
      <w:numFmt w:val="decimal"/>
      <w:lvlText w:val="%7."/>
      <w:lvlJc w:val="left"/>
      <w:pPr>
        <w:widowControl w:val="1"/>
        <w:ind w:hanging="360" w:left="5389"/>
      </w:pPr>
    </w:lvl>
    <w:lvl w:ilvl="7">
      <w:start w:val="1"/>
      <w:numFmt w:val="lowerLetter"/>
      <w:lvlText w:val="%8."/>
      <w:lvlJc w:val="left"/>
      <w:pPr>
        <w:widowControl w:val="1"/>
        <w:ind w:hanging="360" w:left="6109"/>
      </w:pPr>
    </w:lvl>
    <w:lvl w:ilvl="8">
      <w:start w:val="1"/>
      <w:numFmt w:val="lowerRoman"/>
      <w:lvlText w:val="%9."/>
      <w:lvlJc w:val="right"/>
      <w:pPr>
        <w:widowControl w:val="1"/>
        <w:ind w:hanging="180" w:left="6829"/>
      </w:pPr>
    </w:lvl>
  </w:abstractNum>
  <w:abstractNum w:abstractNumId="2">
    <w:lvl w:ilvl="0">
      <w:start w:val="1"/>
      <w:numFmt w:val="decimal"/>
      <w:lvlText w:val="%1)"/>
      <w:lvlJc w:val="left"/>
      <w:pPr>
        <w:widowControl w:val="1"/>
        <w:ind w:hanging="360" w:left="1637"/>
      </w:pPr>
    </w:lvl>
    <w:lvl w:ilvl="1">
      <w:start w:val="1"/>
      <w:numFmt w:val="lowerLetter"/>
      <w:lvlText w:val="%2."/>
      <w:lvlJc w:val="left"/>
      <w:pPr>
        <w:widowControl w:val="1"/>
        <w:ind w:hanging="360" w:left="2357"/>
      </w:pPr>
    </w:lvl>
    <w:lvl w:ilvl="2">
      <w:start w:val="1"/>
      <w:numFmt w:val="lowerRoman"/>
      <w:lvlText w:val="%3."/>
      <w:lvlJc w:val="right"/>
      <w:pPr>
        <w:widowControl w:val="1"/>
        <w:ind w:hanging="180" w:left="3077"/>
      </w:pPr>
    </w:lvl>
    <w:lvl w:ilvl="3">
      <w:start w:val="1"/>
      <w:numFmt w:val="decimal"/>
      <w:lvlText w:val="%4."/>
      <w:lvlJc w:val="left"/>
      <w:pPr>
        <w:widowControl w:val="1"/>
        <w:ind w:hanging="360" w:left="3797"/>
      </w:pPr>
    </w:lvl>
    <w:lvl w:ilvl="4">
      <w:start w:val="1"/>
      <w:numFmt w:val="lowerLetter"/>
      <w:lvlText w:val="%5."/>
      <w:lvlJc w:val="left"/>
      <w:pPr>
        <w:widowControl w:val="1"/>
        <w:ind w:hanging="360" w:left="4517"/>
      </w:pPr>
    </w:lvl>
    <w:lvl w:ilvl="5">
      <w:start w:val="1"/>
      <w:numFmt w:val="lowerRoman"/>
      <w:lvlText w:val="%6."/>
      <w:lvlJc w:val="right"/>
      <w:pPr>
        <w:widowControl w:val="1"/>
        <w:ind w:hanging="180" w:left="5237"/>
      </w:pPr>
    </w:lvl>
    <w:lvl w:ilvl="6">
      <w:start w:val="1"/>
      <w:numFmt w:val="decimal"/>
      <w:lvlText w:val="%7."/>
      <w:lvlJc w:val="left"/>
      <w:pPr>
        <w:widowControl w:val="1"/>
        <w:ind w:hanging="360" w:left="5957"/>
      </w:pPr>
    </w:lvl>
    <w:lvl w:ilvl="7">
      <w:start w:val="1"/>
      <w:numFmt w:val="lowerLetter"/>
      <w:lvlText w:val="%8."/>
      <w:lvlJc w:val="left"/>
      <w:pPr>
        <w:widowControl w:val="1"/>
        <w:ind w:hanging="360" w:left="6677"/>
      </w:pPr>
    </w:lvl>
    <w:lvl w:ilvl="8">
      <w:start w:val="1"/>
      <w:numFmt w:val="lowerRoman"/>
      <w:lvlText w:val="%9."/>
      <w:lvlJc w:val="right"/>
      <w:pPr>
        <w:widowControl w:val="1"/>
        <w:ind w:hanging="180" w:left="7397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1"/>
      <w:spacing w:after="200" w:line="276" w:lineRule="auto"/>
      <w:ind/>
    </w:pPr>
    <w:rPr>
      <w:sz w:val="22"/>
    </w:rPr>
  </w:style>
  <w:style w:default="1" w:styleId="Style_7_ch" w:type="character">
    <w:name w:val="Normal"/>
    <w:link w:val="Style_7"/>
    <w:rPr>
      <w:sz w:val="22"/>
    </w:rPr>
  </w:style>
  <w:style w:styleId="Style_8" w:type="paragraph">
    <w:name w:val="toc 2"/>
    <w:next w:val="Style_7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ody Text"/>
    <w:basedOn w:val="Style_7"/>
    <w:link w:val="Style_10_ch"/>
    <w:pPr>
      <w:widowControl w:val="1"/>
      <w:spacing w:after="120"/>
      <w:ind/>
    </w:pPr>
  </w:style>
  <w:style w:styleId="Style_10_ch" w:type="character">
    <w:name w:val="Body Text"/>
    <w:basedOn w:val="Style_7_ch"/>
    <w:link w:val="Style_10"/>
  </w:style>
  <w:style w:styleId="Style_11" w:type="paragraph">
    <w:name w:val="toc 6"/>
    <w:next w:val="Style_7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formattext"/>
    <w:basedOn w:val="Style_7"/>
    <w:link w:val="Style_13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formattext"/>
    <w:basedOn w:val="Style_7_ch"/>
    <w:link w:val="Style_13"/>
    <w:rPr>
      <w:rFonts w:ascii="Times New Roman" w:hAnsi="Times New Roman"/>
      <w:sz w:val="24"/>
    </w:rPr>
  </w:style>
  <w:style w:styleId="Style_14" w:type="paragraph">
    <w:name w:val="headertext"/>
    <w:basedOn w:val="Style_7"/>
    <w:link w:val="Style_1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headertext"/>
    <w:basedOn w:val="Style_7_ch"/>
    <w:link w:val="Style_14"/>
    <w:rPr>
      <w:rFonts w:ascii="Times New Roman" w:hAnsi="Times New Roman"/>
      <w:sz w:val="24"/>
    </w:rPr>
  </w:style>
  <w:style w:styleId="Style_15" w:type="paragraph">
    <w:name w:val="footer"/>
    <w:basedOn w:val="Style_7"/>
    <w:link w:val="Style_15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7_ch"/>
    <w:link w:val="Style_15"/>
  </w:style>
  <w:style w:styleId="Style_16" w:type="paragraph">
    <w:name w:val="Endnote"/>
    <w:link w:val="Style_16_ch"/>
    <w:pPr>
      <w:widowControl w:val="1"/>
      <w:ind w:firstLine="851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7"/>
    <w:link w:val="Style_1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18" w:type="paragraph">
    <w:name w:val="toc 3"/>
    <w:next w:val="Style_7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Body Text Indent 2"/>
    <w:basedOn w:val="Style_7"/>
    <w:link w:val="Style_19_ch"/>
    <w:pPr>
      <w:widowControl w:val="0"/>
      <w:spacing w:after="0" w:line="240" w:lineRule="auto"/>
      <w:ind w:firstLine="567" w:left="284"/>
    </w:pPr>
    <w:rPr>
      <w:rFonts w:ascii="Times New Roman" w:hAnsi="Times New Roman"/>
      <w:sz w:val="28"/>
    </w:rPr>
  </w:style>
  <w:style w:styleId="Style_19_ch" w:type="character">
    <w:name w:val="Body Text Indent 2"/>
    <w:basedOn w:val="Style_7_ch"/>
    <w:link w:val="Style_19"/>
    <w:rPr>
      <w:rFonts w:ascii="Times New Roman" w:hAnsi="Times New Roman"/>
      <w:sz w:val="28"/>
    </w:rPr>
  </w:style>
  <w:style w:styleId="Style_20" w:type="paragraph">
    <w:name w:val="Основной текст с отступом 21"/>
    <w:basedOn w:val="Style_7"/>
    <w:link w:val="Style_20_ch"/>
    <w:pPr>
      <w:widowControl w:val="1"/>
      <w:spacing w:after="0" w:line="100" w:lineRule="atLeast"/>
      <w:ind w:firstLine="360"/>
      <w:jc w:val="both"/>
    </w:pPr>
    <w:rPr>
      <w:rFonts w:ascii="Times New Roman" w:hAnsi="Times New Roman"/>
      <w:sz w:val="24"/>
    </w:rPr>
  </w:style>
  <w:style w:styleId="Style_20_ch" w:type="character">
    <w:name w:val="Основной текст с отступом 21"/>
    <w:basedOn w:val="Style_7_ch"/>
    <w:link w:val="Style_20"/>
    <w:rPr>
      <w:rFonts w:ascii="Times New Roman" w:hAnsi="Times New Roman"/>
      <w:sz w:val="24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ConsPlusNormal"/>
    <w:link w:val="Style_22_ch"/>
    <w:pPr>
      <w:widowControl w:val="0"/>
      <w:ind w:firstLine="720"/>
    </w:pPr>
    <w:rPr>
      <w:rFonts w:ascii="Arial" w:hAnsi="Arial"/>
    </w:rPr>
  </w:style>
  <w:style w:styleId="Style_22_ch" w:type="character">
    <w:name w:val="ConsPlusNormal"/>
    <w:link w:val="Style_22"/>
    <w:rPr>
      <w:rFonts w:ascii="Arial" w:hAnsi="Arial"/>
    </w:rPr>
  </w:style>
  <w:style w:styleId="Style_23" w:type="paragraph">
    <w:name w:val="heading 5"/>
    <w:next w:val="Style_7"/>
    <w:link w:val="Style_2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7"/>
    <w:link w:val="Style_2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Не вступил в силу"/>
    <w:link w:val="Style_25_ch"/>
    <w:rPr>
      <w:b w:val="1"/>
      <w:sz w:val="26"/>
      <w:shd w:fill="D8EDE8" w:val="clear"/>
    </w:rPr>
  </w:style>
  <w:style w:styleId="Style_25_ch" w:type="character">
    <w:name w:val="Не вступил в силу"/>
    <w:link w:val="Style_25"/>
    <w:rPr>
      <w:b w:val="1"/>
      <w:sz w:val="26"/>
      <w:shd w:fill="D8EDE8" w:val="clear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widowControl w:val="1"/>
      <w:ind w:firstLine="851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toc 1"/>
    <w:next w:val="Style_7"/>
    <w:link w:val="Style_29_ch"/>
    <w:uiPriority w:val="39"/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widowControl w:val="1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toc 9"/>
    <w:next w:val="Style_7"/>
    <w:link w:val="Style_31_ch"/>
    <w:uiPriority w:val="39"/>
    <w:pPr>
      <w:widowControl w:val="1"/>
      <w:ind w:left="1600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Обычный1"/>
    <w:link w:val="Style_32_ch"/>
    <w:rPr>
      <w:sz w:val="22"/>
    </w:rPr>
  </w:style>
  <w:style w:styleId="Style_32_ch" w:type="character">
    <w:name w:val="Обычный1"/>
    <w:link w:val="Style_32"/>
    <w:rPr>
      <w:sz w:val="22"/>
    </w:rPr>
  </w:style>
  <w:style w:styleId="Style_33" w:type="paragraph">
    <w:name w:val="Без интервала2"/>
    <w:link w:val="Style_33_ch"/>
    <w:rPr>
      <w:sz w:val="22"/>
    </w:rPr>
  </w:style>
  <w:style w:styleId="Style_33_ch" w:type="character">
    <w:name w:val="Без интервала2"/>
    <w:link w:val="Style_33"/>
    <w:rPr>
      <w:sz w:val="22"/>
    </w:rPr>
  </w:style>
  <w:style w:styleId="Style_34" w:type="paragraph">
    <w:name w:val="toc 8"/>
    <w:next w:val="Style_7"/>
    <w:link w:val="Style_34_ch"/>
    <w:uiPriority w:val="39"/>
    <w:pPr>
      <w:widowControl w:val="1"/>
      <w:ind w:left="1400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Balloon Text"/>
    <w:basedOn w:val="Style_7"/>
    <w:link w:val="Style_35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35_ch" w:type="character">
    <w:name w:val="Balloon Text"/>
    <w:basedOn w:val="Style_7_ch"/>
    <w:link w:val="Style_35"/>
    <w:rPr>
      <w:rFonts w:ascii="Tahoma" w:hAnsi="Tahoma"/>
      <w:sz w:val="16"/>
    </w:rPr>
  </w:style>
  <w:style w:styleId="Style_6" w:type="paragraph">
    <w:name w:val="Body Text Indent"/>
    <w:basedOn w:val="Style_7"/>
    <w:link w:val="Style_6_ch"/>
    <w:pPr>
      <w:widowControl w:val="1"/>
      <w:spacing w:after="120" w:line="240" w:lineRule="auto"/>
      <w:ind w:left="283"/>
    </w:pPr>
    <w:rPr>
      <w:rFonts w:ascii="Tms Rmn" w:hAnsi="Tms Rmn"/>
      <w:sz w:val="20"/>
    </w:rPr>
  </w:style>
  <w:style w:styleId="Style_6_ch" w:type="character">
    <w:name w:val="Body Text Indent"/>
    <w:basedOn w:val="Style_7_ch"/>
    <w:link w:val="Style_6"/>
    <w:rPr>
      <w:rFonts w:ascii="Tms Rmn" w:hAnsi="Tms Rmn"/>
      <w:sz w:val="20"/>
    </w:rPr>
  </w:style>
  <w:style w:styleId="Style_36" w:type="paragraph">
    <w:name w:val="toc 5"/>
    <w:next w:val="Style_7"/>
    <w:link w:val="Style_36_ch"/>
    <w:uiPriority w:val="39"/>
    <w:pPr>
      <w:widowControl w:val="1"/>
      <w:ind w:left="800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Основной текст 21"/>
    <w:basedOn w:val="Style_7"/>
    <w:link w:val="Style_37_ch"/>
    <w:pPr>
      <w:widowControl w:val="1"/>
      <w:spacing w:after="120" w:line="480" w:lineRule="auto"/>
      <w:ind/>
    </w:pPr>
    <w:rPr>
      <w:rFonts w:ascii="Times New Roman" w:hAnsi="Times New Roman"/>
      <w:sz w:val="24"/>
    </w:rPr>
  </w:style>
  <w:style w:styleId="Style_37_ch" w:type="character">
    <w:name w:val="Основной текст 21"/>
    <w:basedOn w:val="Style_7_ch"/>
    <w:link w:val="Style_37"/>
    <w:rPr>
      <w:rFonts w:ascii="Times New Roman" w:hAnsi="Times New Roman"/>
      <w:sz w:val="24"/>
    </w:rPr>
  </w:style>
  <w:style w:styleId="Style_38" w:type="paragraph">
    <w:name w:val="Subtitle"/>
    <w:next w:val="Style_7"/>
    <w:link w:val="Style_3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" w:type="paragraph">
    <w:name w:val="List Paragraph"/>
    <w:basedOn w:val="Style_7"/>
    <w:link w:val="Style_3_ch"/>
    <w:pPr>
      <w:widowControl w:val="1"/>
      <w:ind w:left="720"/>
      <w:contextualSpacing w:val="1"/>
    </w:pPr>
  </w:style>
  <w:style w:styleId="Style_3_ch" w:type="character">
    <w:name w:val="List Paragraph"/>
    <w:basedOn w:val="Style_7_ch"/>
    <w:link w:val="Style_3"/>
  </w:style>
  <w:style w:styleId="Style_39" w:type="paragraph">
    <w:name w:val="Title"/>
    <w:next w:val="Style_7"/>
    <w:link w:val="Style_3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sz w:val="40"/>
    </w:rPr>
  </w:style>
  <w:style w:styleId="Style_40" w:type="paragraph">
    <w:name w:val="heading 4"/>
    <w:next w:val="Style_7"/>
    <w:link w:val="Style_4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7"/>
    <w:link w:val="Style_4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2" w:type="paragraph">
    <w:name w:val="Normal (Web)"/>
    <w:basedOn w:val="Style_7"/>
    <w:link w:val="Style_2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7_ch"/>
    <w:link w:val="Style_2"/>
    <w:rPr>
      <w:rFonts w:ascii="Times New Roman" w:hAnsi="Times New Roman"/>
      <w:sz w:val="24"/>
    </w:rPr>
  </w:style>
  <w:style w:styleId="Style_42" w:type="paragraph">
    <w:name w:val="ConsPlusTitle"/>
    <w:link w:val="Style_42_ch"/>
    <w:pPr>
      <w:widowControl w:val="0"/>
      <w:ind/>
    </w:pPr>
    <w:rPr>
      <w:rFonts w:ascii="Times New Roman" w:hAnsi="Times New Roman"/>
      <w:b w:val="1"/>
      <w:sz w:val="24"/>
    </w:rPr>
  </w:style>
  <w:style w:styleId="Style_42_ch" w:type="character">
    <w:name w:val="ConsPlusTitle"/>
    <w:link w:val="Style_42"/>
    <w:rPr>
      <w:rFonts w:ascii="Times New Roman" w:hAnsi="Times New Roman"/>
      <w:b w:val="1"/>
      <w:sz w:val="24"/>
    </w:rPr>
  </w:style>
  <w:style w:styleId="Style_43" w:type="paragraph">
    <w:name w:val="Гиперссылка1"/>
    <w:link w:val="Style_43_ch"/>
    <w:rPr>
      <w:color w:val="0000FF"/>
      <w:u w:val="single"/>
    </w:rPr>
  </w:style>
  <w:style w:styleId="Style_43_ch" w:type="character">
    <w:name w:val="Гиперссылка1"/>
    <w:link w:val="Style_43"/>
    <w:rPr>
      <w:color w:val="0000FF"/>
      <w:u w:val="single"/>
    </w:rPr>
  </w:style>
  <w:style w:styleId="Style_44" w:type="paragraph">
    <w:name w:val="ConsPlusCell"/>
    <w:link w:val="Style_44_ch"/>
    <w:pPr>
      <w:widowControl w:val="0"/>
      <w:ind/>
    </w:pPr>
    <w:rPr>
      <w:sz w:val="22"/>
    </w:rPr>
  </w:style>
  <w:style w:styleId="Style_44_ch" w:type="character">
    <w:name w:val="ConsPlusCell"/>
    <w:link w:val="Style_44"/>
    <w:rPr>
      <w:sz w:val="22"/>
    </w:rPr>
  </w:style>
  <w:style w:styleId="Style_4" w:type="paragraph">
    <w:name w:val="No Spacing"/>
    <w:link w:val="Style_4_ch"/>
    <w:pPr>
      <w:widowControl w:val="0"/>
      <w:ind/>
    </w:pPr>
    <w:rPr>
      <w:rFonts w:ascii="Times New Roman" w:hAnsi="Times New Roman"/>
    </w:rPr>
  </w:style>
  <w:style w:styleId="Style_4_ch" w:type="character">
    <w:name w:val="No Spacing"/>
    <w:link w:val="Style_4"/>
    <w:rPr>
      <w:rFonts w:ascii="Times New Roman" w:hAnsi="Times New Roman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5" w:type="table">
    <w:name w:val="Table Grid"/>
    <w:basedOn w:val="Style_5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ettings.xml" Type="http://schemas.openxmlformats.org/officeDocument/2006/relationships/settings"/>
  <Relationship Id="rId1" Target="header1.xml" Type="http://schemas.openxmlformats.org/officeDocument/2006/relationships/header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5" Target="styles.xml" Type="http://schemas.openxmlformats.org/officeDocument/2006/relationships/style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9" Target="numbering.xml" Type="http://schemas.openxmlformats.org/officeDocument/2006/relationships/numbering"/>
  <Relationship Id="rId6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2025-10-24T10:13:00Z</dcterms:created>
  <dcterms:modified xsi:type="dcterms:W3CDTF">2026-01-20T08:22:09Z</dcterms:modified>
</cp:coreProperties>
</file>